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1F0E" w14:textId="453B5BCE" w:rsidR="003C0ED9" w:rsidRDefault="00C57133" w:rsidP="003C0ED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4AD7AD" wp14:editId="44B6C549">
            <wp:simplePos x="0" y="0"/>
            <wp:positionH relativeFrom="column">
              <wp:posOffset>685800</wp:posOffset>
            </wp:positionH>
            <wp:positionV relativeFrom="paragraph">
              <wp:posOffset>81</wp:posOffset>
            </wp:positionV>
            <wp:extent cx="3834130" cy="1028065"/>
            <wp:effectExtent l="0" t="0" r="1270" b="0"/>
            <wp:wrapThrough wrapText="bothSides">
              <wp:wrapPolygon edited="0">
                <wp:start x="0" y="0"/>
                <wp:lineTo x="0" y="20813"/>
                <wp:lineTo x="21464" y="20813"/>
                <wp:lineTo x="2146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D9">
        <w:rPr>
          <w:rFonts w:ascii="Times" w:hAnsi="Times" w:cs="Times"/>
          <w:noProof/>
          <w:lang w:val="en-US"/>
        </w:rPr>
        <w:drawing>
          <wp:inline distT="0" distB="0" distL="0" distR="0" wp14:anchorId="0E42F9F4" wp14:editId="3A7BCA80">
            <wp:extent cx="12700" cy="1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ED9">
        <w:rPr>
          <w:rFonts w:ascii="Times" w:hAnsi="Times" w:cs="Times"/>
          <w:lang w:val="en-US"/>
        </w:rPr>
        <w:t xml:space="preserve"> </w:t>
      </w:r>
    </w:p>
    <w:p w14:paraId="623420D5" w14:textId="77777777" w:rsidR="003C0ED9" w:rsidRDefault="003C0ED9" w:rsidP="003C0ED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C19F83B" wp14:editId="2B54AFCC">
            <wp:extent cx="12700" cy="1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9A12" w14:textId="77777777" w:rsidR="00C57133" w:rsidRDefault="00C57133" w:rsidP="0046345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80E9135" w14:textId="77777777" w:rsidR="00F9761B" w:rsidRDefault="00F9761B" w:rsidP="0046345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79639228" w14:textId="32BB573D" w:rsidR="00C57133" w:rsidRDefault="00F9761B" w:rsidP="00463450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2218F3">
        <w:rPr>
          <w:rFonts w:ascii="Calibri" w:hAnsi="Calibri" w:cs="Calibri"/>
          <w:b/>
          <w:bCs/>
          <w:sz w:val="28"/>
          <w:szCs w:val="28"/>
          <w:lang w:val="en-US"/>
        </w:rPr>
        <w:t xml:space="preserve">TERM THREE, 2021 OVERVIEW, YEAR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2</w:t>
      </w:r>
      <w:r>
        <w:rPr>
          <w:rFonts w:ascii="Calibri" w:hAnsi="Calibri" w:cs="Calibri"/>
          <w:b/>
          <w:bCs/>
          <w:sz w:val="28"/>
          <w:szCs w:val="28"/>
          <w:lang w:val="en-US"/>
        </w:rPr>
        <w:br/>
      </w:r>
      <w:r w:rsidRPr="002218F3">
        <w:rPr>
          <w:rFonts w:ascii="Calibri" w:hAnsi="Calibri" w:cs="Calibri"/>
          <w:b/>
          <w:bCs/>
          <w:sz w:val="28"/>
          <w:szCs w:val="28"/>
          <w:lang w:val="en-US"/>
        </w:rPr>
        <w:t>TEACHERS: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Shendelle Watters, Tania Melfi, Michael Musolino</w:t>
      </w:r>
    </w:p>
    <w:tbl>
      <w:tblPr>
        <w:tblpPr w:leftFromText="180" w:rightFromText="180" w:vertAnchor="page" w:horzAnchor="page" w:tblpX="1009" w:tblpY="3269"/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2"/>
      </w:tblGrid>
      <w:tr w:rsidR="00675918" w:rsidRPr="001D74DB" w14:paraId="0B863D58" w14:textId="77777777" w:rsidTr="00675918">
        <w:trPr>
          <w:trHeight w:val="660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8A8C09" w14:textId="77777777" w:rsidR="00F9761B" w:rsidRPr="001D74DB" w:rsidRDefault="00675918" w:rsidP="0067591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D74DB">
              <w:rPr>
                <w:rFonts w:asciiTheme="majorHAnsi" w:eastAsia="Times New Roman" w:hAnsiTheme="majorHAnsi" w:cstheme="majorHAnsi"/>
              </w:rPr>
              <w:t xml:space="preserve">Welcome to the Term Three learning for the Year </w:t>
            </w:r>
            <w:r w:rsidR="00F9761B" w:rsidRPr="001D74DB">
              <w:rPr>
                <w:rFonts w:asciiTheme="majorHAnsi" w:eastAsia="Times New Roman" w:hAnsiTheme="majorHAnsi" w:cstheme="majorHAnsi"/>
              </w:rPr>
              <w:t>2</w:t>
            </w:r>
            <w:r w:rsidRPr="001D74DB">
              <w:rPr>
                <w:rFonts w:asciiTheme="majorHAnsi" w:eastAsia="Times New Roman" w:hAnsiTheme="majorHAnsi" w:cstheme="majorHAnsi"/>
              </w:rPr>
              <w:t xml:space="preserve"> class</w:t>
            </w:r>
            <w:r w:rsidR="00F9761B" w:rsidRPr="001D74DB">
              <w:rPr>
                <w:rFonts w:asciiTheme="majorHAnsi" w:eastAsia="Times New Roman" w:hAnsiTheme="majorHAnsi" w:cstheme="majorHAnsi"/>
              </w:rPr>
              <w:t>es</w:t>
            </w:r>
            <w:r w:rsidRPr="001D74DB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34325F7E" w14:textId="482B3B04" w:rsidR="00675918" w:rsidRPr="001D74DB" w:rsidRDefault="00675918" w:rsidP="0067591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1D74DB">
              <w:rPr>
                <w:rFonts w:asciiTheme="majorHAnsi" w:eastAsia="Times New Roman" w:hAnsiTheme="majorHAnsi" w:cstheme="majorHAnsi"/>
              </w:rPr>
              <w:t>Student learning will focus on:</w:t>
            </w:r>
          </w:p>
        </w:tc>
      </w:tr>
      <w:tr w:rsidR="00675918" w:rsidRPr="001D74DB" w14:paraId="75904AAC" w14:textId="77777777" w:rsidTr="005F56DC">
        <w:trPr>
          <w:trHeight w:val="4394"/>
        </w:trPr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EC00E8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lang w:val="en-US"/>
              </w:rPr>
              <w:t>Religion (New Crossways)</w:t>
            </w:r>
          </w:p>
          <w:p w14:paraId="03D88B8D" w14:textId="77777777" w:rsidR="000864E8" w:rsidRPr="001D74DB" w:rsidRDefault="000864E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14378F95" w14:textId="77777777" w:rsidR="000864E8" w:rsidRPr="001D74DB" w:rsidRDefault="000864E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73EB9700" w14:textId="1A565E63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lang w:val="en-US"/>
              </w:rPr>
              <w:t>New MITIOG</w:t>
            </w:r>
            <w:r w:rsidRPr="001D74D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F56DC">
              <w:rPr>
                <w:rFonts w:asciiTheme="majorHAnsi" w:hAnsiTheme="majorHAnsi" w:cstheme="majorHAnsi"/>
                <w:lang w:val="en-US"/>
              </w:rPr>
              <w:br/>
            </w:r>
            <w:r w:rsidRPr="001D74DB">
              <w:rPr>
                <w:rFonts w:asciiTheme="majorHAnsi" w:hAnsiTheme="majorHAnsi" w:cstheme="majorHAnsi"/>
                <w:lang w:val="en-US"/>
              </w:rPr>
              <w:t>(Made in the image of God)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4C039D" w14:textId="77777777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Jesus taught the importance of forgiveness </w:t>
            </w:r>
          </w:p>
          <w:p w14:paraId="476BB2AB" w14:textId="322735E9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(we can choose right from wrong)</w:t>
            </w:r>
          </w:p>
          <w:p w14:paraId="47C87B29" w14:textId="635E074B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Mary MacKillop</w:t>
            </w:r>
          </w:p>
          <w:p w14:paraId="6632FF07" w14:textId="38CE9885" w:rsidR="00F9761B" w:rsidRPr="001D74DB" w:rsidRDefault="000864E8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The Assumption of the Blessed Virgin </w:t>
            </w:r>
            <w:r w:rsidR="00F9761B" w:rsidRPr="001D74DB">
              <w:rPr>
                <w:rFonts w:asciiTheme="majorHAnsi" w:hAnsiTheme="majorHAnsi" w:cstheme="majorHAnsi"/>
                <w:noProof/>
                <w:lang w:val="en-US"/>
              </w:rPr>
              <w:t>Mary</w:t>
            </w:r>
          </w:p>
          <w:p w14:paraId="40505003" w14:textId="4F276B7B" w:rsidR="000864E8" w:rsidRDefault="000864E8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</w:p>
          <w:p w14:paraId="1CE3FCA6" w14:textId="77777777" w:rsidR="00F9761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Human Sexuality (MITIOG)</w:t>
            </w:r>
          </w:p>
          <w:p w14:paraId="120032B1" w14:textId="77777777" w:rsidR="005F56DC" w:rsidRPr="005F56DC" w:rsidRDefault="005F56DC" w:rsidP="005F56D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lang w:val="en-US"/>
              </w:rPr>
            </w:pPr>
            <w:r w:rsidRPr="005F56DC">
              <w:rPr>
                <w:rFonts w:ascii="Calibri" w:hAnsi="Calibri" w:cs="Calibri"/>
                <w:bCs/>
                <w:lang w:val="en-US"/>
              </w:rPr>
              <w:t xml:space="preserve">An appreciation of the dignity of the human person </w:t>
            </w:r>
          </w:p>
          <w:p w14:paraId="4F0506FE" w14:textId="795DCB1B" w:rsidR="005F56DC" w:rsidRPr="005F56DC" w:rsidRDefault="005F56DC" w:rsidP="005F56D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lang w:val="en-US"/>
              </w:rPr>
            </w:pPr>
            <w:r w:rsidRPr="005F56DC">
              <w:rPr>
                <w:rFonts w:ascii="Calibri" w:hAnsi="Calibri" w:cs="Calibri"/>
                <w:bCs/>
                <w:lang w:val="en-US"/>
              </w:rPr>
              <w:t>P</w:t>
            </w:r>
            <w:r>
              <w:rPr>
                <w:rFonts w:ascii="Calibri" w:hAnsi="Calibri" w:cs="Calibri"/>
                <w:bCs/>
                <w:lang w:val="en-US"/>
              </w:rPr>
              <w:t>romote</w:t>
            </w:r>
            <w:r w:rsidRPr="005F56DC">
              <w:rPr>
                <w:rFonts w:ascii="Calibri" w:hAnsi="Calibri" w:cs="Calibri"/>
                <w:bCs/>
                <w:lang w:val="en-US"/>
              </w:rPr>
              <w:t xml:space="preserve"> respectfu</w:t>
            </w:r>
            <w:r>
              <w:rPr>
                <w:rFonts w:ascii="Calibri" w:hAnsi="Calibri" w:cs="Calibri"/>
                <w:bCs/>
                <w:lang w:val="en-US"/>
              </w:rPr>
              <w:t>l body awareness and understanding</w:t>
            </w:r>
            <w:r w:rsidRPr="005F56DC">
              <w:rPr>
                <w:rFonts w:ascii="Calibri" w:hAnsi="Calibri" w:cs="Calibri"/>
                <w:bCs/>
                <w:lang w:val="en-US"/>
              </w:rPr>
              <w:t xml:space="preserve"> that we are called to show God’s love to others </w:t>
            </w:r>
          </w:p>
          <w:p w14:paraId="233EA6F9" w14:textId="331FE55E" w:rsidR="005F56DC" w:rsidRPr="005F56DC" w:rsidRDefault="005F56DC" w:rsidP="005F56D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5F56DC">
              <w:rPr>
                <w:rFonts w:ascii="Calibri" w:hAnsi="Calibri" w:cs="Calibri"/>
                <w:bCs/>
                <w:lang w:val="en-US"/>
              </w:rPr>
              <w:t xml:space="preserve">Family is ideally a place for a child to be loved and nurtured, a safe place where a child learns </w:t>
            </w:r>
          </w:p>
          <w:p w14:paraId="33632345" w14:textId="77777777" w:rsidR="005F56DC" w:rsidRPr="005F56DC" w:rsidRDefault="005F56DC" w:rsidP="005F56D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lang w:val="en-US"/>
              </w:rPr>
            </w:pPr>
            <w:r w:rsidRPr="005F56DC">
              <w:rPr>
                <w:rFonts w:ascii="Calibri" w:hAnsi="Calibri" w:cs="Calibri"/>
                <w:bCs/>
                <w:lang w:val="en-US"/>
              </w:rPr>
              <w:t xml:space="preserve">An appreciation of the body as a special gift </w:t>
            </w:r>
          </w:p>
          <w:p w14:paraId="2CA55E62" w14:textId="165DE49C" w:rsidR="005F56DC" w:rsidRPr="005F56DC" w:rsidRDefault="005F56DC" w:rsidP="005F56D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5F56DC">
              <w:rPr>
                <w:rFonts w:ascii="Calibri" w:hAnsi="Calibri" w:cs="Calibri"/>
                <w:bCs/>
                <w:lang w:val="en-US"/>
              </w:rPr>
              <w:t>Correct terminology</w:t>
            </w:r>
            <w:r>
              <w:rPr>
                <w:rFonts w:ascii="Calibri" w:hAnsi="Calibri" w:cs="Calibri"/>
                <w:bCs/>
                <w:lang w:val="en-US"/>
              </w:rPr>
              <w:t xml:space="preserve"> to name the parts of the body.</w:t>
            </w:r>
          </w:p>
          <w:p w14:paraId="300CC939" w14:textId="0A578CDC" w:rsidR="005F56DC" w:rsidRPr="001D74DB" w:rsidRDefault="005F56DC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</w:p>
        </w:tc>
      </w:tr>
      <w:tr w:rsidR="00675918" w:rsidRPr="001D74DB" w14:paraId="340D578A" w14:textId="77777777" w:rsidTr="00F9761B">
        <w:trPr>
          <w:trHeight w:val="296"/>
        </w:trPr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8DA6D0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lang w:val="en-US"/>
              </w:rPr>
              <w:t>Child Protection Curriculum</w:t>
            </w:r>
            <w:r w:rsidRPr="001D74DB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455CFE" w14:textId="3F1390DA" w:rsidR="00675918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Recognising and </w:t>
            </w:r>
            <w:r w:rsidR="001D74DB" w:rsidRPr="001D74DB">
              <w:rPr>
                <w:rFonts w:asciiTheme="majorHAnsi" w:hAnsiTheme="majorHAnsi" w:cstheme="majorHAnsi"/>
                <w:noProof/>
                <w:lang w:val="en-US"/>
              </w:rPr>
              <w:t>R</w:t>
            </w:r>
            <w:r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eporting </w:t>
            </w:r>
            <w:r w:rsidR="001D74DB" w:rsidRPr="001D74DB">
              <w:rPr>
                <w:rFonts w:asciiTheme="majorHAnsi" w:hAnsiTheme="majorHAnsi" w:cstheme="majorHAnsi"/>
                <w:noProof/>
                <w:lang w:val="en-US"/>
              </w:rPr>
              <w:t>A</w:t>
            </w:r>
            <w:r w:rsidRPr="001D74DB">
              <w:rPr>
                <w:rFonts w:asciiTheme="majorHAnsi" w:hAnsiTheme="majorHAnsi" w:cstheme="majorHAnsi"/>
                <w:noProof/>
                <w:lang w:val="en-US"/>
              </w:rPr>
              <w:t>buse</w:t>
            </w:r>
          </w:p>
        </w:tc>
      </w:tr>
      <w:tr w:rsidR="00675918" w:rsidRPr="001D74DB" w14:paraId="04ED4363" w14:textId="77777777" w:rsidTr="00F9761B">
        <w:trPr>
          <w:trHeight w:val="1566"/>
        </w:trPr>
        <w:tc>
          <w:tcPr>
            <w:tcW w:w="4111" w:type="dxa"/>
            <w:tcBorders>
              <w:top w:val="single" w:sz="2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E405BF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English</w:t>
            </w:r>
          </w:p>
          <w:p w14:paraId="0CBD6E92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D4AE65" w14:textId="4E37AE90" w:rsidR="003F120D" w:rsidRPr="001D74DB" w:rsidRDefault="003F120D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Heggerty (Phonics)</w:t>
            </w:r>
          </w:p>
          <w:p w14:paraId="4930A4D3" w14:textId="17B266F6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Phonemic Awareness Program</w:t>
            </w:r>
          </w:p>
          <w:p w14:paraId="3224B3AD" w14:textId="5A6BF418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Handwriting</w:t>
            </w:r>
          </w:p>
          <w:p w14:paraId="7A80246B" w14:textId="4EF515A4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Book Week (Old Worlds, New Worlds and Other Worlds)</w:t>
            </w:r>
          </w:p>
          <w:p w14:paraId="6B1622E9" w14:textId="6238C8BC" w:rsidR="003F120D" w:rsidRPr="001D74DB" w:rsidRDefault="003F120D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Guided Reading </w:t>
            </w:r>
            <w:r w:rsidR="00F9761B" w:rsidRPr="001D74DB">
              <w:rPr>
                <w:rFonts w:asciiTheme="majorHAnsi" w:hAnsiTheme="majorHAnsi" w:cstheme="majorHAnsi"/>
                <w:noProof/>
                <w:lang w:val="en-US"/>
              </w:rPr>
              <w:t>(Deco</w:t>
            </w:r>
            <w:r w:rsidR="000864E8" w:rsidRPr="001D74DB">
              <w:rPr>
                <w:rFonts w:asciiTheme="majorHAnsi" w:hAnsiTheme="majorHAnsi" w:cstheme="majorHAnsi"/>
                <w:noProof/>
                <w:lang w:val="en-US"/>
              </w:rPr>
              <w:t>d</w:t>
            </w:r>
            <w:r w:rsidR="00F9761B" w:rsidRPr="001D74DB">
              <w:rPr>
                <w:rFonts w:asciiTheme="majorHAnsi" w:hAnsiTheme="majorHAnsi" w:cstheme="majorHAnsi"/>
                <w:noProof/>
                <w:lang w:val="en-US"/>
              </w:rPr>
              <w:t xml:space="preserve">able and </w:t>
            </w:r>
            <w:r w:rsidR="000864E8" w:rsidRPr="001D74DB">
              <w:rPr>
                <w:rFonts w:asciiTheme="majorHAnsi" w:hAnsiTheme="majorHAnsi" w:cstheme="majorHAnsi"/>
                <w:noProof/>
                <w:lang w:val="en-US"/>
              </w:rPr>
              <w:t>l</w:t>
            </w:r>
            <w:r w:rsidR="00F9761B" w:rsidRPr="001D74DB">
              <w:rPr>
                <w:rFonts w:asciiTheme="majorHAnsi" w:hAnsiTheme="majorHAnsi" w:cstheme="majorHAnsi"/>
                <w:noProof/>
                <w:lang w:val="en-US"/>
              </w:rPr>
              <w:t>evelled Readers)</w:t>
            </w:r>
          </w:p>
          <w:p w14:paraId="0BCFBD88" w14:textId="634D32BA" w:rsidR="00675918" w:rsidRPr="001D74DB" w:rsidRDefault="003F120D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Narrative Writing</w:t>
            </w:r>
          </w:p>
          <w:p w14:paraId="5A478605" w14:textId="56C53B80" w:rsidR="003F120D" w:rsidRPr="001D74DB" w:rsidRDefault="003F120D" w:rsidP="00F976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lang w:val="en-US"/>
              </w:rPr>
            </w:pPr>
            <w:r w:rsidRPr="001D74DB">
              <w:rPr>
                <w:rFonts w:asciiTheme="majorHAnsi" w:hAnsiTheme="majorHAnsi" w:cstheme="majorHAnsi"/>
                <w:noProof/>
                <w:lang w:val="en-US"/>
              </w:rPr>
              <w:t>Recount Writing</w:t>
            </w:r>
          </w:p>
        </w:tc>
      </w:tr>
      <w:tr w:rsidR="00675918" w:rsidRPr="001D74DB" w14:paraId="2D1072D3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EF114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Mathematics </w:t>
            </w:r>
          </w:p>
          <w:p w14:paraId="12B34404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B261F3" w14:textId="73D0F4DF" w:rsidR="00F9761B" w:rsidRPr="001D74DB" w:rsidRDefault="003F120D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Transformation</w:t>
            </w:r>
            <w:r w:rsidR="00F9761B" w:rsidRPr="001D74DB">
              <w:rPr>
                <w:rFonts w:asciiTheme="majorHAnsi" w:hAnsiTheme="majorHAnsi" w:cstheme="majorHAnsi"/>
              </w:rPr>
              <w:t>s</w:t>
            </w:r>
            <w:r w:rsidRPr="001D74DB">
              <w:rPr>
                <w:rFonts w:asciiTheme="majorHAnsi" w:hAnsiTheme="majorHAnsi" w:cstheme="majorHAnsi"/>
              </w:rPr>
              <w:t xml:space="preserve"> (Slide, </w:t>
            </w:r>
            <w:r w:rsidR="000864E8" w:rsidRPr="001D74DB">
              <w:rPr>
                <w:rFonts w:asciiTheme="majorHAnsi" w:hAnsiTheme="majorHAnsi" w:cstheme="majorHAnsi"/>
              </w:rPr>
              <w:t>t</w:t>
            </w:r>
            <w:r w:rsidRPr="001D74DB">
              <w:rPr>
                <w:rFonts w:asciiTheme="majorHAnsi" w:hAnsiTheme="majorHAnsi" w:cstheme="majorHAnsi"/>
              </w:rPr>
              <w:t xml:space="preserve">urn, </w:t>
            </w:r>
            <w:r w:rsidR="000864E8" w:rsidRPr="001D74DB">
              <w:rPr>
                <w:rFonts w:asciiTheme="majorHAnsi" w:hAnsiTheme="majorHAnsi" w:cstheme="majorHAnsi"/>
              </w:rPr>
              <w:t>f</w:t>
            </w:r>
            <w:r w:rsidRPr="001D74DB">
              <w:rPr>
                <w:rFonts w:asciiTheme="majorHAnsi" w:hAnsiTheme="majorHAnsi" w:cstheme="majorHAnsi"/>
              </w:rPr>
              <w:t>lip)</w:t>
            </w:r>
          </w:p>
          <w:p w14:paraId="5A36FE81" w14:textId="7D350FF7" w:rsidR="00F9761B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Mass and Volume</w:t>
            </w:r>
          </w:p>
          <w:p w14:paraId="39AEE3AB" w14:textId="702D570C" w:rsidR="00F9761B" w:rsidRPr="001D74DB" w:rsidRDefault="00F9761B" w:rsidP="000864E8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Fractions</w:t>
            </w:r>
            <w:r w:rsidR="000864E8" w:rsidRPr="001D74DB">
              <w:rPr>
                <w:rFonts w:asciiTheme="majorHAnsi" w:hAnsiTheme="majorHAnsi" w:cstheme="majorHAnsi"/>
              </w:rPr>
              <w:t xml:space="preserve"> (Halves, quarters and eighths)</w:t>
            </w:r>
          </w:p>
          <w:p w14:paraId="46015517" w14:textId="1FDD8A92" w:rsidR="00F9761B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 xml:space="preserve">Time (Quarter past, </w:t>
            </w:r>
            <w:r w:rsidR="000864E8" w:rsidRPr="001D74DB">
              <w:rPr>
                <w:rFonts w:asciiTheme="majorHAnsi" w:hAnsiTheme="majorHAnsi" w:cstheme="majorHAnsi"/>
              </w:rPr>
              <w:t>q</w:t>
            </w:r>
            <w:r w:rsidRPr="001D74DB">
              <w:rPr>
                <w:rFonts w:asciiTheme="majorHAnsi" w:hAnsiTheme="majorHAnsi" w:cstheme="majorHAnsi"/>
              </w:rPr>
              <w:t xml:space="preserve">uarter to, </w:t>
            </w:r>
            <w:r w:rsidR="000864E8" w:rsidRPr="001D74DB">
              <w:rPr>
                <w:rFonts w:asciiTheme="majorHAnsi" w:hAnsiTheme="majorHAnsi" w:cstheme="majorHAnsi"/>
              </w:rPr>
              <w:t>d</w:t>
            </w:r>
            <w:r w:rsidRPr="001D74DB">
              <w:rPr>
                <w:rFonts w:asciiTheme="majorHAnsi" w:hAnsiTheme="majorHAnsi" w:cstheme="majorHAnsi"/>
              </w:rPr>
              <w:t>igital/</w:t>
            </w:r>
            <w:r w:rsidR="000864E8" w:rsidRPr="001D74DB">
              <w:rPr>
                <w:rFonts w:asciiTheme="majorHAnsi" w:hAnsiTheme="majorHAnsi" w:cstheme="majorHAnsi"/>
              </w:rPr>
              <w:t>a</w:t>
            </w:r>
            <w:r w:rsidRPr="001D74DB">
              <w:rPr>
                <w:rFonts w:asciiTheme="majorHAnsi" w:hAnsiTheme="majorHAnsi" w:cstheme="majorHAnsi"/>
              </w:rPr>
              <w:t>nalogue)</w:t>
            </w:r>
          </w:p>
          <w:p w14:paraId="3C5430CB" w14:textId="7E6C3F13" w:rsidR="00F9761B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More or less</w:t>
            </w:r>
          </w:p>
          <w:p w14:paraId="7DABCFD0" w14:textId="31A99B66" w:rsidR="00F9761B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Counting Collections to 1000</w:t>
            </w:r>
          </w:p>
          <w:p w14:paraId="5AF0B308" w14:textId="777864A0" w:rsidR="00F9761B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Counting Strategies</w:t>
            </w:r>
          </w:p>
          <w:p w14:paraId="02450654" w14:textId="7AC24FF2" w:rsidR="003F120D" w:rsidRPr="001D74DB" w:rsidRDefault="00F9761B" w:rsidP="00F9761B">
            <w:pPr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</w:rPr>
              <w:t>Addition and Subtraction</w:t>
            </w:r>
          </w:p>
        </w:tc>
      </w:tr>
      <w:tr w:rsidR="00675918" w:rsidRPr="001D74DB" w14:paraId="4EE746E8" w14:textId="77777777" w:rsidTr="00F9761B">
        <w:tblPrEx>
          <w:tblBorders>
            <w:top w:val="none" w:sz="0" w:space="0" w:color="auto"/>
          </w:tblBorders>
        </w:tblPrEx>
        <w:trPr>
          <w:trHeight w:val="599"/>
        </w:trPr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11C5DE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Science </w:t>
            </w:r>
          </w:p>
          <w:p w14:paraId="23E0D5DA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78DDF2" w14:textId="4420F29D" w:rsidR="00675918" w:rsidRPr="001D74DB" w:rsidRDefault="003F120D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lang w:val="en-US"/>
              </w:rPr>
              <w:t>Water Works (Earth &amp; Space Sciences)</w:t>
            </w:r>
          </w:p>
        </w:tc>
      </w:tr>
      <w:tr w:rsidR="00675918" w:rsidRPr="001D74DB" w14:paraId="6C5ADF31" w14:textId="77777777" w:rsidTr="00F9761B">
        <w:tblPrEx>
          <w:tblBorders>
            <w:top w:val="none" w:sz="0" w:space="0" w:color="auto"/>
          </w:tblBorders>
        </w:tblPrEx>
        <w:trPr>
          <w:trHeight w:val="1153"/>
        </w:trPr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8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9822C0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 xml:space="preserve">Humanities and Social Sciences (HASS) 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79EBE0" w14:textId="4356D3D1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lang w:val="en-US"/>
              </w:rPr>
              <w:t>Our local c</w:t>
            </w:r>
            <w:r w:rsidR="003F120D" w:rsidRPr="001D74DB">
              <w:rPr>
                <w:rFonts w:asciiTheme="majorHAnsi" w:hAnsiTheme="majorHAnsi" w:cstheme="majorHAnsi"/>
                <w:lang w:val="en-US"/>
              </w:rPr>
              <w:t>ommunity</w:t>
            </w:r>
            <w:r w:rsidRPr="001D74DB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="00E06FF5">
              <w:rPr>
                <w:rFonts w:asciiTheme="majorHAnsi" w:hAnsiTheme="majorHAnsi" w:cstheme="majorHAnsi"/>
                <w:lang w:val="en-US"/>
              </w:rPr>
              <w:t>A</w:t>
            </w:r>
            <w:r w:rsidRPr="001D74DB">
              <w:rPr>
                <w:rFonts w:asciiTheme="majorHAnsi" w:hAnsiTheme="majorHAnsi" w:cstheme="majorHAnsi"/>
                <w:lang w:val="en-US"/>
              </w:rPr>
              <w:t xml:space="preserve"> significant place)</w:t>
            </w:r>
          </w:p>
        </w:tc>
      </w:tr>
      <w:tr w:rsidR="00675918" w:rsidRPr="001D74DB" w14:paraId="2B042949" w14:textId="77777777" w:rsidTr="00F9761B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314D83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Health 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79E63" w14:textId="5276B952" w:rsidR="00675918" w:rsidRPr="001D74D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lang w:val="en-US"/>
              </w:rPr>
              <w:t>Sustainability (KESAB Paper making incursion)</w:t>
            </w:r>
          </w:p>
        </w:tc>
      </w:tr>
      <w:tr w:rsidR="00675918" w:rsidRPr="001D74DB" w14:paraId="46DC773C" w14:textId="77777777" w:rsidTr="00F9761B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B0AFF5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Physical Education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5B2D0F" w14:textId="7CFCCCEB" w:rsidR="00675918" w:rsidRPr="001D74D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0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Michael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Musolino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</w:p>
        </w:tc>
      </w:tr>
      <w:tr w:rsidR="00675918" w:rsidRPr="001D74DB" w14:paraId="766FF46D" w14:textId="77777777" w:rsidTr="00F9761B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4111" w:type="dxa"/>
            <w:tcBorders>
              <w:top w:val="single" w:sz="8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D70A06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Italian </w:t>
            </w:r>
          </w:p>
        </w:tc>
        <w:tc>
          <w:tcPr>
            <w:tcW w:w="606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EFEFE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A837C2" w14:textId="48338D85" w:rsidR="00675918" w:rsidRPr="001D74D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1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Emily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Parrella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</w:p>
        </w:tc>
      </w:tr>
      <w:tr w:rsidR="00675918" w:rsidRPr="001D74DB" w14:paraId="4804BB89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0E977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Arts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A0B293" w14:textId="77777777" w:rsidR="00675918" w:rsidRPr="001D74D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lang w:val="en-US"/>
              </w:rPr>
              <w:t>Significant artworks from around the world</w:t>
            </w:r>
          </w:p>
          <w:p w14:paraId="7E095B69" w14:textId="1D8834BC" w:rsidR="00F9761B" w:rsidRPr="001D74D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  <w:lang w:val="en-US"/>
              </w:rPr>
              <w:t>Father’s Day art</w:t>
            </w:r>
          </w:p>
        </w:tc>
      </w:tr>
      <w:tr w:rsidR="00675918" w:rsidRPr="001D74DB" w14:paraId="0B97A1B5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9B624A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Music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16A3D2" w14:textId="4B5B9442" w:rsidR="00675918" w:rsidRPr="001D74D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2" w:history="1">
              <w:r w:rsidRPr="00675531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Emma Hills curriculum link</w:t>
              </w:r>
            </w:hyperlink>
          </w:p>
        </w:tc>
      </w:tr>
      <w:tr w:rsidR="00675918" w:rsidRPr="001D74DB" w14:paraId="2D84DDA5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235E51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STEM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E620CC" w14:textId="746D4896" w:rsidR="00675918" w:rsidRPr="001D74D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3" w:history="1"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Nicholas </w:t>
              </w:r>
              <w:proofErr w:type="spellStart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>Polvere</w:t>
              </w:r>
              <w:proofErr w:type="spellEnd"/>
              <w:r w:rsidRPr="007E6C72">
                <w:rPr>
                  <w:rStyle w:val="Hyperlink"/>
                  <w:rFonts w:ascii="Century Gothic" w:hAnsi="Century Gothic" w:cs="Calibri"/>
                  <w:bCs/>
                  <w:sz w:val="22"/>
                  <w:szCs w:val="22"/>
                  <w:lang w:val="en-US"/>
                </w:rPr>
                <w:t xml:space="preserve"> curriculum link</w:t>
              </w:r>
            </w:hyperlink>
            <w:bookmarkStart w:id="0" w:name="_GoBack"/>
            <w:bookmarkEnd w:id="0"/>
          </w:p>
        </w:tc>
      </w:tr>
      <w:tr w:rsidR="00675918" w:rsidRPr="001D74DB" w14:paraId="722BB209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7CADF" w14:textId="5CF3BDCC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Information Technology </w:t>
            </w: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br/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AC7384" w14:textId="77777777" w:rsidR="00A930E6" w:rsidRDefault="00A930E6" w:rsidP="00A930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Using an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ipad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(including various apps)</w:t>
            </w:r>
          </w:p>
          <w:p w14:paraId="66D83923" w14:textId="3980DEDF" w:rsidR="00A930E6" w:rsidRDefault="00A930E6" w:rsidP="00A930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SEESAW</w:t>
            </w:r>
            <w:r w:rsidR="00ED4A92">
              <w:rPr>
                <w:rFonts w:asciiTheme="majorHAnsi" w:hAnsiTheme="majorHAnsi" w:cstheme="majorHAnsi"/>
                <w:lang w:val="en-US"/>
              </w:rPr>
              <w:t xml:space="preserve"> (Editing skills including </w:t>
            </w:r>
            <w:proofErr w:type="spellStart"/>
            <w:r w:rsidR="00ED4A92">
              <w:rPr>
                <w:rFonts w:asciiTheme="majorHAnsi" w:hAnsiTheme="majorHAnsi" w:cstheme="majorHAnsi"/>
                <w:lang w:val="en-US"/>
              </w:rPr>
              <w:t>colour</w:t>
            </w:r>
            <w:proofErr w:type="spellEnd"/>
            <w:r w:rsidR="00ED4A92">
              <w:rPr>
                <w:rFonts w:asciiTheme="majorHAnsi" w:hAnsiTheme="majorHAnsi" w:cstheme="majorHAnsi"/>
                <w:lang w:val="en-US"/>
              </w:rPr>
              <w:t xml:space="preserve">, shapes, uploading work, </w:t>
            </w:r>
            <w:r w:rsidR="00E06FF5">
              <w:rPr>
                <w:rFonts w:asciiTheme="majorHAnsi" w:hAnsiTheme="majorHAnsi" w:cstheme="majorHAnsi"/>
                <w:lang w:val="en-US"/>
              </w:rPr>
              <w:t xml:space="preserve">taking photos/videos, </w:t>
            </w:r>
            <w:r w:rsidR="00ED4A92">
              <w:rPr>
                <w:rFonts w:asciiTheme="majorHAnsi" w:hAnsiTheme="majorHAnsi" w:cstheme="majorHAnsi"/>
                <w:lang w:val="en-US"/>
              </w:rPr>
              <w:t>caption box, text box, video link, audio, background, uploading screenshots, inserting new pages, drawing tool)</w:t>
            </w:r>
          </w:p>
          <w:p w14:paraId="1014D7AC" w14:textId="77777777" w:rsidR="00A930E6" w:rsidRDefault="00A930E6" w:rsidP="00A930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Internet</w:t>
            </w:r>
          </w:p>
          <w:p w14:paraId="406EB53D" w14:textId="0AA2A0CD" w:rsidR="00A930E6" w:rsidRPr="001D74DB" w:rsidRDefault="00A930E6" w:rsidP="00A930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Logging in to the School Intranet</w:t>
            </w:r>
          </w:p>
        </w:tc>
      </w:tr>
      <w:tr w:rsidR="00675918" w:rsidRPr="001D74DB" w14:paraId="70B0A364" w14:textId="77777777" w:rsidTr="00F9761B">
        <w:tblPrEx>
          <w:tblBorders>
            <w:top w:val="none" w:sz="0" w:space="0" w:color="auto"/>
          </w:tblBorders>
        </w:tblPrEx>
        <w:tc>
          <w:tcPr>
            <w:tcW w:w="4111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59EB0C" w14:textId="77777777" w:rsidR="00675918" w:rsidRPr="001D74DB" w:rsidRDefault="00675918" w:rsidP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1D74DB">
              <w:rPr>
                <w:rFonts w:asciiTheme="majorHAnsi" w:hAnsiTheme="majorHAnsi" w:cstheme="majorHAnsi"/>
                <w:b/>
                <w:bCs/>
                <w:lang w:val="en-US"/>
              </w:rPr>
              <w:t>Design and Technology</w:t>
            </w:r>
          </w:p>
        </w:tc>
        <w:tc>
          <w:tcPr>
            <w:tcW w:w="6062" w:type="dxa"/>
            <w:tcBorders>
              <w:top w:val="single" w:sz="7" w:space="0" w:color="auto"/>
              <w:left w:val="single" w:sz="2" w:space="0" w:color="auto"/>
              <w:bottom w:val="single" w:sz="7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21E92F" w14:textId="6BD08FB1" w:rsidR="00675918" w:rsidRPr="001D74DB" w:rsidRDefault="00F9761B" w:rsidP="00F9761B">
            <w:pPr>
              <w:rPr>
                <w:rFonts w:asciiTheme="majorHAnsi" w:hAnsiTheme="majorHAnsi" w:cstheme="majorHAnsi"/>
              </w:rPr>
            </w:pPr>
            <w:r w:rsidRPr="001D74DB">
              <w:rPr>
                <w:rFonts w:asciiTheme="majorHAnsi" w:hAnsiTheme="majorHAnsi" w:cstheme="majorHAnsi"/>
              </w:rPr>
              <w:t>Making a Rain Gauge</w:t>
            </w:r>
          </w:p>
          <w:p w14:paraId="419AF4DD" w14:textId="709CF4FA" w:rsidR="00F9761B" w:rsidRPr="001D74DB" w:rsidRDefault="00F9761B" w:rsidP="00F9761B">
            <w:pPr>
              <w:rPr>
                <w:rFonts w:asciiTheme="majorHAnsi" w:hAnsiTheme="majorHAnsi" w:cstheme="majorHAnsi"/>
                <w:lang w:val="en-US"/>
              </w:rPr>
            </w:pPr>
            <w:r w:rsidRPr="001D74DB">
              <w:rPr>
                <w:rFonts w:asciiTheme="majorHAnsi" w:hAnsiTheme="majorHAnsi" w:cstheme="majorHAnsi"/>
              </w:rPr>
              <w:t>Paper Making (with KESAB)</w:t>
            </w:r>
          </w:p>
        </w:tc>
      </w:tr>
    </w:tbl>
    <w:p w14:paraId="632F41B3" w14:textId="04ADF758" w:rsidR="002218F3" w:rsidRPr="00675918" w:rsidRDefault="00675918" w:rsidP="0067591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en-US"/>
        </w:rPr>
      </w:pPr>
      <w:r w:rsidRPr="002218F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br/>
      </w:r>
    </w:p>
    <w:tbl>
      <w:tblPr>
        <w:tblW w:w="10349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6223"/>
      </w:tblGrid>
      <w:tr w:rsidR="00675918" w14:paraId="4AD33872" w14:textId="77777777" w:rsidTr="00675918">
        <w:trPr>
          <w:trHeight w:val="441"/>
        </w:trPr>
        <w:tc>
          <w:tcPr>
            <w:tcW w:w="10349" w:type="dxa"/>
            <w:gridSpan w:val="2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CFC98" w14:textId="2BA90DB8" w:rsidR="00675918" w:rsidRPr="00F9761B" w:rsidRDefault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bCs/>
                <w:lang w:val="en-US"/>
              </w:rPr>
              <w:t>SPECIAL EVENTS THIS TERM</w:t>
            </w:r>
          </w:p>
        </w:tc>
      </w:tr>
      <w:tr w:rsidR="00675918" w14:paraId="3C975877" w14:textId="77777777" w:rsidTr="000864E8">
        <w:tc>
          <w:tcPr>
            <w:tcW w:w="4126" w:type="dxa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3139C" w14:textId="54EDE68C" w:rsidR="00675918" w:rsidRPr="00F9761B" w:rsidRDefault="00675918" w:rsidP="00DE77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Masses</w:t>
            </w:r>
          </w:p>
        </w:tc>
        <w:tc>
          <w:tcPr>
            <w:tcW w:w="6223" w:type="dxa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E60FFC" w14:textId="7FCA680B" w:rsidR="00F9761B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Mary of the Cross MacKillop - 9</w:t>
            </w:r>
            <w:r w:rsidRPr="00F9761B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 w:rsidRPr="00F9761B">
              <w:rPr>
                <w:rFonts w:asciiTheme="majorHAnsi" w:hAnsiTheme="majorHAnsi" w:cstheme="majorHAnsi"/>
                <w:lang w:val="en-US"/>
              </w:rPr>
              <w:t xml:space="preserve"> August (Week 4, Term 3)</w:t>
            </w:r>
          </w:p>
          <w:p w14:paraId="1306698E" w14:textId="26F41A84" w:rsidR="00F9761B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Assumption Mass (Yr3-6) - 13</w:t>
            </w:r>
            <w:r w:rsidRPr="00F9761B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 w:rsidRPr="00F9761B">
              <w:rPr>
                <w:rFonts w:asciiTheme="majorHAnsi" w:hAnsiTheme="majorHAnsi" w:cstheme="majorHAnsi"/>
                <w:lang w:val="en-US"/>
              </w:rPr>
              <w:t xml:space="preserve"> August (Week 4, Term 3)</w:t>
            </w:r>
          </w:p>
          <w:p w14:paraId="75042F4B" w14:textId="06D2391F" w:rsidR="00675918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 xml:space="preserve">Year 2 Unit Mass - </w:t>
            </w:r>
            <w:r w:rsidR="003F120D" w:rsidRPr="00F9761B">
              <w:rPr>
                <w:rFonts w:asciiTheme="majorHAnsi" w:hAnsiTheme="majorHAnsi" w:cstheme="majorHAnsi"/>
                <w:lang w:val="en-US"/>
              </w:rPr>
              <w:t>Monday 23</w:t>
            </w:r>
            <w:r w:rsidR="003F120D" w:rsidRPr="00F9761B">
              <w:rPr>
                <w:rFonts w:asciiTheme="majorHAnsi" w:hAnsiTheme="majorHAnsi" w:cstheme="majorHAnsi"/>
                <w:vertAlign w:val="superscript"/>
                <w:lang w:val="en-US"/>
              </w:rPr>
              <w:t>rd</w:t>
            </w:r>
            <w:r w:rsidR="003F120D" w:rsidRPr="00F9761B">
              <w:rPr>
                <w:rFonts w:asciiTheme="majorHAnsi" w:hAnsiTheme="majorHAnsi" w:cstheme="majorHAnsi"/>
                <w:lang w:val="en-US"/>
              </w:rPr>
              <w:t xml:space="preserve"> July (Week 6, Term 3)</w:t>
            </w:r>
          </w:p>
        </w:tc>
      </w:tr>
      <w:tr w:rsidR="003C0ED9" w14:paraId="142D73B7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95677" w14:textId="77777777" w:rsidR="003C0ED9" w:rsidRPr="00F9761B" w:rsidRDefault="00360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Assembly</w:t>
            </w:r>
            <w:r w:rsidR="003C0ED9" w:rsidRPr="00F9761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E6E008" w14:textId="6498E747" w:rsidR="003C0ED9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N/A</w:t>
            </w:r>
          </w:p>
        </w:tc>
      </w:tr>
      <w:tr w:rsidR="00BA052A" w14:paraId="2872C65B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4CCBA" w14:textId="56305937" w:rsidR="00BA052A" w:rsidRPr="00F9761B" w:rsidRDefault="00BA05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Excursions/Incursions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EEC7C7" w14:textId="28871935" w:rsidR="00BA052A" w:rsidRPr="00F9761B" w:rsidRDefault="003F120D" w:rsidP="00F9761B">
            <w:pPr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KESAB Incursion</w:t>
            </w:r>
            <w:r w:rsidR="00F9761B" w:rsidRPr="00F9761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9761B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F9761B" w:rsidRPr="00F9761B">
              <w:rPr>
                <w:rFonts w:asciiTheme="majorHAnsi" w:hAnsiTheme="majorHAnsi" w:cstheme="majorHAnsi"/>
                <w:color w:val="000000"/>
              </w:rPr>
              <w:t>Monday 16</w:t>
            </w:r>
            <w:r w:rsidR="00F9761B" w:rsidRPr="00F9761B">
              <w:rPr>
                <w:rFonts w:asciiTheme="majorHAnsi" w:hAnsiTheme="majorHAnsi" w:cstheme="majorHAnsi"/>
                <w:color w:val="000000"/>
                <w:vertAlign w:val="superscript"/>
              </w:rPr>
              <w:t>th</w:t>
            </w:r>
            <w:r w:rsidR="00F9761B" w:rsidRPr="00F9761B">
              <w:rPr>
                <w:rStyle w:val="apple-converted-space"/>
                <w:rFonts w:asciiTheme="majorHAnsi" w:hAnsiTheme="majorHAnsi" w:cstheme="majorHAnsi"/>
                <w:color w:val="000000"/>
              </w:rPr>
              <w:t> </w:t>
            </w:r>
            <w:r w:rsidR="00F9761B" w:rsidRPr="00F9761B">
              <w:rPr>
                <w:rFonts w:asciiTheme="majorHAnsi" w:hAnsiTheme="majorHAnsi" w:cstheme="majorHAnsi"/>
                <w:color w:val="000000"/>
              </w:rPr>
              <w:t>September</w:t>
            </w:r>
            <w:r w:rsidR="00F9761B">
              <w:rPr>
                <w:rFonts w:asciiTheme="majorHAnsi" w:hAnsiTheme="majorHAnsi" w:cstheme="majorHAnsi"/>
                <w:color w:val="000000"/>
              </w:rPr>
              <w:t xml:space="preserve"> (Week 5, Term 3)</w:t>
            </w:r>
          </w:p>
        </w:tc>
      </w:tr>
      <w:tr w:rsidR="00463450" w14:paraId="72CF654C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4F685" w14:textId="196E0A2D" w:rsidR="00463450" w:rsidRPr="00F9761B" w:rsidRDefault="004634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Pupil Free Days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E24720" w14:textId="7CCF89DC" w:rsidR="00463450" w:rsidRPr="00F9761B" w:rsidRDefault="005F56DC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24</w:t>
            </w:r>
            <w:r w:rsidRPr="005F56DC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lang w:val="en-US"/>
              </w:rPr>
              <w:t xml:space="preserve"> September</w:t>
            </w:r>
          </w:p>
        </w:tc>
      </w:tr>
      <w:tr w:rsidR="00F06693" w14:paraId="13A0545F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D2A87" w14:textId="08D185F9" w:rsidR="00F06693" w:rsidRPr="00F9761B" w:rsidRDefault="00F066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Parent/Teacher/Student Dates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95530F" w14:textId="6151900C" w:rsidR="005F56DC" w:rsidRPr="005F56DC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Book Week Parade – Thursday 26</w:t>
            </w:r>
            <w:r w:rsidRPr="00F9761B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 w:rsidRPr="00F9761B">
              <w:rPr>
                <w:rFonts w:asciiTheme="majorHAnsi" w:hAnsiTheme="majorHAnsi" w:cstheme="majorHAnsi"/>
                <w:lang w:val="en-US"/>
              </w:rPr>
              <w:t xml:space="preserve"> August (Week 6, Term 3)</w:t>
            </w:r>
            <w:r w:rsidR="005F56DC">
              <w:rPr>
                <w:rFonts w:asciiTheme="majorHAnsi" w:hAnsiTheme="majorHAnsi" w:cstheme="majorHAnsi"/>
                <w:lang w:val="en-US"/>
              </w:rPr>
              <w:br/>
            </w:r>
            <w:r w:rsidR="005F56DC" w:rsidRPr="005F56DC">
              <w:rPr>
                <w:rFonts w:asciiTheme="majorHAnsi" w:hAnsiTheme="majorHAnsi" w:cs="Calibri Light"/>
                <w:b/>
                <w:bCs/>
                <w:sz w:val="22"/>
                <w:szCs w:val="22"/>
                <w:lang w:val="en-US"/>
              </w:rPr>
              <w:t>School Photo Day –</w:t>
            </w:r>
            <w:r w:rsidR="005F56DC" w:rsidRPr="005F56DC">
              <w:rPr>
                <w:rFonts w:asciiTheme="majorHAnsi" w:hAnsiTheme="majorHAnsi" w:cs="Calibri Light"/>
                <w:sz w:val="22"/>
                <w:szCs w:val="22"/>
                <w:lang w:val="en-US"/>
              </w:rPr>
              <w:t xml:space="preserve"> Friday, 27</w:t>
            </w:r>
            <w:r w:rsidR="005F56DC" w:rsidRPr="005F56DC">
              <w:rPr>
                <w:rFonts w:asciiTheme="majorHAnsi" w:hAnsiTheme="majorHAnsi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="005F56DC" w:rsidRPr="005F56DC">
              <w:rPr>
                <w:rFonts w:asciiTheme="majorHAnsi" w:hAnsiTheme="majorHAnsi" w:cs="Calibri Light"/>
                <w:sz w:val="22"/>
                <w:szCs w:val="22"/>
                <w:lang w:val="en-US"/>
              </w:rPr>
              <w:t xml:space="preserve"> August (Week 6)</w:t>
            </w:r>
          </w:p>
        </w:tc>
      </w:tr>
      <w:tr w:rsidR="003C0ED9" w14:paraId="27F92CF3" w14:textId="77777777" w:rsidTr="000864E8">
        <w:trPr>
          <w:trHeight w:val="270"/>
        </w:trPr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D0108" w14:textId="16425B0D" w:rsidR="003C0ED9" w:rsidRPr="00F9761B" w:rsidRDefault="003C0E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lastRenderedPageBreak/>
              <w:t>Holiday</w:t>
            </w:r>
            <w:r w:rsidR="00BA052A" w:rsidRPr="00F9761B">
              <w:rPr>
                <w:rFonts w:asciiTheme="majorHAnsi" w:hAnsiTheme="majorHAnsi" w:cstheme="majorHAnsi"/>
                <w:b/>
                <w:lang w:val="en-US"/>
              </w:rPr>
              <w:t>s</w:t>
            </w:r>
          </w:p>
          <w:p w14:paraId="23DD69AC" w14:textId="4C3224B0" w:rsidR="003C0ED9" w:rsidRPr="00F9761B" w:rsidRDefault="003C0E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inline distT="0" distB="0" distL="0" distR="0" wp14:anchorId="18B34083" wp14:editId="2FBEABC5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61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2BB631" w14:textId="35F8B4CD" w:rsidR="003C0ED9" w:rsidRPr="00F9761B" w:rsidRDefault="00F9761B" w:rsidP="005F56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Friday 2</w:t>
            </w:r>
            <w:r w:rsidR="005F56DC">
              <w:rPr>
                <w:rFonts w:asciiTheme="majorHAnsi" w:hAnsiTheme="majorHAnsi" w:cstheme="majorHAnsi"/>
                <w:lang w:val="en-US"/>
              </w:rPr>
              <w:t>3</w:t>
            </w:r>
            <w:r w:rsidRPr="00F9761B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 w:rsidRPr="00F9761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0864E8" w:rsidRPr="00F9761B">
              <w:rPr>
                <w:rFonts w:asciiTheme="majorHAnsi" w:hAnsiTheme="majorHAnsi" w:cstheme="majorHAnsi"/>
                <w:lang w:val="en-US"/>
              </w:rPr>
              <w:t>September</w:t>
            </w:r>
            <w:r w:rsidRPr="00F9761B">
              <w:rPr>
                <w:rFonts w:asciiTheme="majorHAnsi" w:hAnsiTheme="majorHAnsi" w:cstheme="majorHAnsi"/>
                <w:lang w:val="en-US"/>
              </w:rPr>
              <w:t xml:space="preserve"> - Term 3 holidays</w:t>
            </w:r>
            <w:r w:rsidR="005F56DC">
              <w:rPr>
                <w:rFonts w:asciiTheme="majorHAnsi" w:hAnsiTheme="majorHAnsi" w:cstheme="majorHAnsi"/>
                <w:lang w:val="en-US"/>
              </w:rPr>
              <w:t xml:space="preserve"> 3pm</w:t>
            </w:r>
          </w:p>
        </w:tc>
      </w:tr>
    </w:tbl>
    <w:p w14:paraId="1D3E3422" w14:textId="13431225" w:rsidR="003C0ED9" w:rsidRDefault="003C0ED9" w:rsidP="003C0E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tbl>
      <w:tblPr>
        <w:tblW w:w="10349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6223"/>
      </w:tblGrid>
      <w:tr w:rsidR="00675918" w:rsidRPr="00F9761B" w14:paraId="436B24F4" w14:textId="77777777" w:rsidTr="00E21D95">
        <w:tc>
          <w:tcPr>
            <w:tcW w:w="10349" w:type="dxa"/>
            <w:gridSpan w:val="2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5C3C09" w14:textId="77777777" w:rsidR="00675918" w:rsidRPr="00F9761B" w:rsidRDefault="00675918" w:rsidP="00A341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inline distT="0" distB="0" distL="0" distR="0" wp14:anchorId="59DBA265" wp14:editId="66640E07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336D3" w14:textId="7777D66B" w:rsidR="00675918" w:rsidRPr="00F9761B" w:rsidRDefault="006759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bCs/>
                <w:lang w:val="en-US"/>
              </w:rPr>
              <w:t>HOMEWORK FOCUS – HOW TO HELP AT HOME</w:t>
            </w:r>
          </w:p>
        </w:tc>
      </w:tr>
      <w:tr w:rsidR="00675918" w:rsidRPr="00F9761B" w14:paraId="5637CF18" w14:textId="77777777" w:rsidTr="000864E8">
        <w:tc>
          <w:tcPr>
            <w:tcW w:w="4126" w:type="dxa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C23CCB" w14:textId="209E68E3" w:rsidR="00675918" w:rsidRPr="00F9761B" w:rsidRDefault="00675918" w:rsidP="00A341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noProof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Spelling</w:t>
            </w:r>
          </w:p>
        </w:tc>
        <w:tc>
          <w:tcPr>
            <w:tcW w:w="6223" w:type="dxa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A2F258" w14:textId="08E4326D" w:rsidR="00675918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Weekly Literacy Homework contract</w:t>
            </w:r>
          </w:p>
        </w:tc>
      </w:tr>
      <w:tr w:rsidR="003C0ED9" w:rsidRPr="00F9761B" w14:paraId="4A788CCF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75787D" w14:textId="77777777" w:rsidR="003C0ED9" w:rsidRPr="00F9761B" w:rsidRDefault="003C0ED9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 xml:space="preserve">Reading 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D0C73F" w14:textId="21592FF7" w:rsidR="003C0ED9" w:rsidRPr="00F9761B" w:rsidRDefault="00EA4ECA" w:rsidP="00F9761B">
            <w:pPr>
              <w:rPr>
                <w:rFonts w:asciiTheme="majorHAnsi" w:hAnsiTheme="majorHAnsi" w:cstheme="majorHAnsi"/>
              </w:rPr>
            </w:pPr>
            <w:r w:rsidRPr="00F9761B">
              <w:rPr>
                <w:rFonts w:asciiTheme="majorHAnsi" w:hAnsiTheme="majorHAnsi" w:cstheme="majorHAnsi"/>
              </w:rPr>
              <w:t>Home</w:t>
            </w:r>
            <w:r w:rsidR="003C0ED9" w:rsidRPr="00F9761B">
              <w:rPr>
                <w:rFonts w:asciiTheme="majorHAnsi" w:hAnsiTheme="majorHAnsi" w:cstheme="majorHAnsi"/>
              </w:rPr>
              <w:t xml:space="preserve"> reading for a minimum of 10-15 minutes. Please encourage</w:t>
            </w:r>
            <w:r w:rsidR="00F9761B" w:rsidRPr="00F9761B">
              <w:rPr>
                <w:rFonts w:asciiTheme="majorHAnsi" w:hAnsiTheme="majorHAnsi" w:cstheme="majorHAnsi"/>
              </w:rPr>
              <w:t xml:space="preserve"> </w:t>
            </w:r>
            <w:r w:rsidR="003C0ED9" w:rsidRPr="00F9761B">
              <w:rPr>
                <w:rFonts w:asciiTheme="majorHAnsi" w:hAnsiTheme="majorHAnsi" w:cstheme="majorHAnsi"/>
              </w:rPr>
              <w:t xml:space="preserve">and discuss with your child the content of the text they are reading. At this stage of development, we </w:t>
            </w:r>
            <w:r w:rsidR="00F9761B" w:rsidRPr="00F9761B">
              <w:rPr>
                <w:rFonts w:asciiTheme="majorHAnsi" w:hAnsiTheme="majorHAnsi" w:cstheme="majorHAnsi"/>
              </w:rPr>
              <w:t xml:space="preserve">also </w:t>
            </w:r>
            <w:r w:rsidR="003C0ED9" w:rsidRPr="00F9761B">
              <w:rPr>
                <w:rFonts w:asciiTheme="majorHAnsi" w:hAnsiTheme="majorHAnsi" w:cstheme="majorHAnsi"/>
              </w:rPr>
              <w:t xml:space="preserve">encourage the children to be reading for pleasure. It is of benefit for children to read a variety of materials for example: novels, recipes, informational texts, appropriate newspaper articles, web-based texts </w:t>
            </w:r>
            <w:r w:rsidR="00C97DFC" w:rsidRPr="00F9761B">
              <w:rPr>
                <w:rFonts w:asciiTheme="majorHAnsi" w:hAnsiTheme="majorHAnsi" w:cstheme="majorHAnsi"/>
              </w:rPr>
              <w:t>etc.</w:t>
            </w:r>
          </w:p>
        </w:tc>
      </w:tr>
      <w:tr w:rsidR="003C0ED9" w:rsidRPr="00F9761B" w14:paraId="1756301B" w14:textId="77777777" w:rsidTr="000864E8">
        <w:tblPrEx>
          <w:tblBorders>
            <w:top w:val="none" w:sz="0" w:space="0" w:color="auto"/>
          </w:tblBorders>
        </w:tblPrEx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EC1A3" w14:textId="77777777" w:rsidR="003C0ED9" w:rsidRPr="00F9761B" w:rsidRDefault="00920125" w:rsidP="009201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Mathematics</w:t>
            </w:r>
            <w:r w:rsidR="003C0ED9" w:rsidRPr="00F9761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1734EC" w14:textId="10582A3D" w:rsidR="003C0ED9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N/A</w:t>
            </w:r>
          </w:p>
        </w:tc>
      </w:tr>
      <w:tr w:rsidR="003C0ED9" w:rsidRPr="00F9761B" w14:paraId="6EBF79D0" w14:textId="77777777" w:rsidTr="000864E8">
        <w:trPr>
          <w:trHeight w:val="893"/>
        </w:trPr>
        <w:tc>
          <w:tcPr>
            <w:tcW w:w="4126" w:type="dxa"/>
            <w:tcBorders>
              <w:top w:val="single" w:sz="7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D61056" w14:textId="61457FD5" w:rsidR="003C0ED9" w:rsidRPr="00F9761B" w:rsidRDefault="003C0ED9" w:rsidP="00A858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 xml:space="preserve">Other </w:t>
            </w:r>
          </w:p>
        </w:tc>
        <w:tc>
          <w:tcPr>
            <w:tcW w:w="6223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3D7508" w14:textId="7591ED58" w:rsidR="003C0ED9" w:rsidRPr="00F9761B" w:rsidRDefault="003C0ED9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At various times throughout the year your child will be given investigation tasks within the curriculum areas.</w:t>
            </w:r>
          </w:p>
        </w:tc>
      </w:tr>
      <w:tr w:rsidR="00920125" w:rsidRPr="00F9761B" w14:paraId="01C9E266" w14:textId="77777777" w:rsidTr="000864E8">
        <w:tc>
          <w:tcPr>
            <w:tcW w:w="4126" w:type="dxa"/>
            <w:tcBorders>
              <w:top w:val="single" w:sz="7" w:space="0" w:color="auto"/>
              <w:left w:val="nil"/>
              <w:bottom w:val="single" w:sz="18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B10C76" w14:textId="77777777" w:rsidR="00920125" w:rsidRPr="00F9761B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223" w:type="dxa"/>
            <w:tcBorders>
              <w:top w:val="single" w:sz="7" w:space="0" w:color="auto"/>
              <w:left w:val="nil"/>
              <w:bottom w:val="single" w:sz="18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7D3ED" w14:textId="77777777" w:rsidR="00920125" w:rsidRPr="00F9761B" w:rsidRDefault="00920125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20125" w:rsidRPr="00F9761B" w14:paraId="145E7DD1" w14:textId="77777777" w:rsidTr="000864E8">
        <w:tc>
          <w:tcPr>
            <w:tcW w:w="4126" w:type="dxa"/>
            <w:tcBorders>
              <w:top w:val="single" w:sz="18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FF187B" w14:textId="58459DA6" w:rsidR="00920125" w:rsidRPr="00F9761B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bCs/>
                <w:lang w:val="en-US"/>
              </w:rPr>
              <w:t>Library Borrowing Day</w:t>
            </w:r>
          </w:p>
        </w:tc>
        <w:tc>
          <w:tcPr>
            <w:tcW w:w="6223" w:type="dxa"/>
            <w:tcBorders>
              <w:top w:val="single" w:sz="18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49131E" w14:textId="42600229" w:rsidR="00920125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2MM – Thursday</w:t>
            </w:r>
          </w:p>
          <w:p w14:paraId="2D5AEDB8" w14:textId="5CA5F3D6" w:rsidR="00F9761B" w:rsidRPr="00F9761B" w:rsidRDefault="00F9761B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 w:rsidRPr="00F9761B">
              <w:rPr>
                <w:rFonts w:asciiTheme="majorHAnsi" w:hAnsiTheme="majorHAnsi" w:cstheme="majorHAnsi"/>
                <w:lang w:val="en-US"/>
              </w:rPr>
              <w:t>2W - Friday</w:t>
            </w:r>
          </w:p>
        </w:tc>
      </w:tr>
      <w:tr w:rsidR="00E06FF5" w:rsidRPr="00F9761B" w14:paraId="5E0D323D" w14:textId="77777777" w:rsidTr="000864E8">
        <w:tc>
          <w:tcPr>
            <w:tcW w:w="4126" w:type="dxa"/>
            <w:tcBorders>
              <w:top w:val="single" w:sz="18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7D6303" w14:textId="77777777" w:rsidR="00E06FF5" w:rsidRDefault="00E06FF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PE Days </w:t>
            </w:r>
          </w:p>
          <w:p w14:paraId="789B770B" w14:textId="674A17BC" w:rsidR="00E06FF5" w:rsidRPr="00F9761B" w:rsidRDefault="00E06FF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(PE uniform to be worn)</w:t>
            </w:r>
          </w:p>
        </w:tc>
        <w:tc>
          <w:tcPr>
            <w:tcW w:w="6223" w:type="dxa"/>
            <w:tcBorders>
              <w:top w:val="single" w:sz="18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32E1CB" w14:textId="5BB1A759" w:rsidR="00E06FF5" w:rsidRPr="00F9761B" w:rsidRDefault="00E06FF5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Monday and Wednesday</w:t>
            </w:r>
          </w:p>
        </w:tc>
      </w:tr>
      <w:tr w:rsidR="00583299" w:rsidRPr="00F9761B" w14:paraId="06B085D4" w14:textId="77777777" w:rsidTr="000864E8">
        <w:tc>
          <w:tcPr>
            <w:tcW w:w="4126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D89D4" w14:textId="77777777" w:rsidR="00583299" w:rsidRPr="00F9761B" w:rsidRDefault="00AD3D19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Useful Websites</w:t>
            </w:r>
          </w:p>
        </w:tc>
        <w:tc>
          <w:tcPr>
            <w:tcW w:w="6223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66AABB" w14:textId="48A8A823" w:rsidR="00583299" w:rsidRPr="00F9761B" w:rsidRDefault="00AD3D19" w:rsidP="00F9761B">
            <w:pPr>
              <w:rPr>
                <w:rFonts w:asciiTheme="majorHAnsi" w:eastAsia="Times New Roman" w:hAnsiTheme="majorHAnsi" w:cstheme="majorHAnsi"/>
              </w:rPr>
            </w:pPr>
            <w:r w:rsidRPr="00F9761B">
              <w:rPr>
                <w:rFonts w:asciiTheme="majorHAnsi" w:eastAsia="Times New Roman" w:hAnsiTheme="majorHAnsi" w:cstheme="majorHAnsi"/>
              </w:rPr>
              <w:t xml:space="preserve">Studyladder (students will have a login) </w:t>
            </w:r>
            <w:r w:rsidR="001D74DB">
              <w:rPr>
                <w:rFonts w:asciiTheme="majorHAnsi" w:eastAsia="Times New Roman" w:hAnsiTheme="majorHAnsi" w:cstheme="majorHAnsi"/>
              </w:rPr>
              <w:t xml:space="preserve">- </w:t>
            </w:r>
            <w:r w:rsidR="00A858F7" w:rsidRPr="00F9761B">
              <w:rPr>
                <w:rFonts w:asciiTheme="majorHAnsi" w:eastAsia="Times New Roman" w:hAnsiTheme="majorHAnsi" w:cstheme="majorHAnsi"/>
              </w:rPr>
              <w:t>L</w:t>
            </w:r>
            <w:r w:rsidRPr="00F9761B">
              <w:rPr>
                <w:rFonts w:asciiTheme="majorHAnsi" w:eastAsia="Times New Roman" w:hAnsiTheme="majorHAnsi" w:cstheme="majorHAnsi"/>
              </w:rPr>
              <w:t>iteracy</w:t>
            </w:r>
            <w:r w:rsidR="00F9761B" w:rsidRPr="00F9761B">
              <w:rPr>
                <w:rFonts w:asciiTheme="majorHAnsi" w:eastAsia="Times New Roman" w:hAnsiTheme="majorHAnsi" w:cstheme="majorHAnsi"/>
              </w:rPr>
              <w:t xml:space="preserve">, </w:t>
            </w:r>
            <w:r w:rsidR="00A858F7" w:rsidRPr="00F9761B">
              <w:rPr>
                <w:rFonts w:asciiTheme="majorHAnsi" w:eastAsia="Times New Roman" w:hAnsiTheme="majorHAnsi" w:cstheme="majorHAnsi"/>
              </w:rPr>
              <w:t>N</w:t>
            </w:r>
            <w:r w:rsidRPr="00F9761B">
              <w:rPr>
                <w:rFonts w:asciiTheme="majorHAnsi" w:eastAsia="Times New Roman" w:hAnsiTheme="majorHAnsi" w:cstheme="majorHAnsi"/>
              </w:rPr>
              <w:t>umeracy</w:t>
            </w:r>
            <w:r w:rsidR="00F9761B" w:rsidRPr="00F9761B">
              <w:rPr>
                <w:rFonts w:asciiTheme="majorHAnsi" w:eastAsia="Times New Roman" w:hAnsiTheme="majorHAnsi" w:cstheme="majorHAnsi"/>
              </w:rPr>
              <w:t xml:space="preserve"> and other areas.</w:t>
            </w:r>
          </w:p>
        </w:tc>
      </w:tr>
      <w:tr w:rsidR="00920125" w:rsidRPr="00F9761B" w14:paraId="460438D6" w14:textId="77777777" w:rsidTr="000864E8">
        <w:tc>
          <w:tcPr>
            <w:tcW w:w="4126" w:type="dxa"/>
            <w:tcBorders>
              <w:top w:val="single" w:sz="2" w:space="0" w:color="auto"/>
              <w:left w:val="single" w:sz="15" w:space="0" w:color="auto"/>
              <w:bottom w:val="single" w:sz="2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0ACAD7" w14:textId="77777777" w:rsidR="00920125" w:rsidRPr="00F9761B" w:rsidRDefault="00920125" w:rsidP="00A341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  <w:r w:rsidRPr="00F9761B">
              <w:rPr>
                <w:rFonts w:asciiTheme="majorHAnsi" w:hAnsiTheme="majorHAnsi" w:cstheme="majorHAnsi"/>
                <w:b/>
                <w:lang w:val="en-US"/>
              </w:rPr>
              <w:t>Parent Information</w:t>
            </w:r>
          </w:p>
        </w:tc>
        <w:tc>
          <w:tcPr>
            <w:tcW w:w="6223" w:type="dxa"/>
            <w:tcBorders>
              <w:top w:val="single" w:sz="2" w:space="0" w:color="auto"/>
              <w:left w:val="single" w:sz="7" w:space="0" w:color="auto"/>
              <w:bottom w:val="single" w:sz="2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14761E" w14:textId="77777777" w:rsidR="00920125" w:rsidRPr="00F9761B" w:rsidRDefault="00920125" w:rsidP="00F9761B">
            <w:pPr>
              <w:rPr>
                <w:rFonts w:asciiTheme="majorHAnsi" w:eastAsia="Times New Roman" w:hAnsiTheme="majorHAnsi" w:cstheme="majorHAnsi"/>
              </w:rPr>
            </w:pPr>
            <w:r w:rsidRPr="00F9761B">
              <w:rPr>
                <w:rFonts w:asciiTheme="majorHAnsi" w:eastAsia="Times New Roman" w:hAnsiTheme="majorHAnsi" w:cstheme="majorHAnsi"/>
              </w:rPr>
              <w:t>SEESAW</w:t>
            </w:r>
          </w:p>
        </w:tc>
      </w:tr>
      <w:tr w:rsidR="00AD3D19" w:rsidRPr="00F9761B" w14:paraId="23829856" w14:textId="77777777" w:rsidTr="000864E8">
        <w:tc>
          <w:tcPr>
            <w:tcW w:w="4126" w:type="dxa"/>
            <w:tcBorders>
              <w:top w:val="single" w:sz="2" w:space="0" w:color="auto"/>
              <w:left w:val="single" w:sz="15" w:space="0" w:color="auto"/>
              <w:bottom w:val="single" w:sz="18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053EB6" w14:textId="77777777" w:rsidR="00AD3D19" w:rsidRPr="00F9761B" w:rsidRDefault="00AD3D19" w:rsidP="00AD3D19">
            <w:pPr>
              <w:rPr>
                <w:rFonts w:asciiTheme="majorHAnsi" w:eastAsia="Times New Roman" w:hAnsiTheme="majorHAnsi" w:cstheme="majorHAnsi"/>
                <w:b/>
              </w:rPr>
            </w:pPr>
            <w:r w:rsidRPr="00F9761B">
              <w:rPr>
                <w:rFonts w:asciiTheme="majorHAnsi" w:eastAsia="Times New Roman" w:hAnsiTheme="majorHAnsi" w:cstheme="majorHAnsi"/>
                <w:b/>
              </w:rPr>
              <w:t>Key contact details</w:t>
            </w:r>
          </w:p>
          <w:p w14:paraId="0343A536" w14:textId="77777777" w:rsidR="00AD3D19" w:rsidRPr="00F9761B" w:rsidRDefault="00AD3D19" w:rsidP="00AD3D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6223" w:type="dxa"/>
            <w:tcBorders>
              <w:top w:val="single" w:sz="2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775098" w14:textId="43B660EB" w:rsidR="00AD3D19" w:rsidRPr="00F9761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5" w:history="1">
              <w:r w:rsidR="00F9761B" w:rsidRPr="00F9761B">
                <w:rPr>
                  <w:rStyle w:val="Hyperlink"/>
                  <w:rFonts w:asciiTheme="majorHAnsi" w:hAnsiTheme="majorHAnsi" w:cstheme="majorHAnsi"/>
                  <w:lang w:val="en-US"/>
                </w:rPr>
                <w:t>swatters@stjopayn.catholic.edu.au</w:t>
              </w:r>
            </w:hyperlink>
          </w:p>
          <w:p w14:paraId="01269579" w14:textId="75E83059" w:rsidR="00F9761B" w:rsidRPr="00F9761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6" w:history="1">
              <w:r w:rsidR="00F9761B" w:rsidRPr="00F9761B">
                <w:rPr>
                  <w:rStyle w:val="Hyperlink"/>
                  <w:rFonts w:asciiTheme="majorHAnsi" w:hAnsiTheme="majorHAnsi" w:cstheme="majorHAnsi"/>
                  <w:lang w:val="en-US"/>
                </w:rPr>
                <w:t>tmelfi@stjoapyn.catholic.edu.au</w:t>
              </w:r>
            </w:hyperlink>
          </w:p>
          <w:p w14:paraId="5525BAF8" w14:textId="57EF3999" w:rsidR="00F9761B" w:rsidRPr="00F9761B" w:rsidRDefault="00AB6B26" w:rsidP="00F976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lang w:val="en-US"/>
              </w:rPr>
            </w:pPr>
            <w:hyperlink r:id="rId17" w:history="1">
              <w:r w:rsidR="00F9761B" w:rsidRPr="00F9761B">
                <w:rPr>
                  <w:rStyle w:val="Hyperlink"/>
                  <w:rFonts w:asciiTheme="majorHAnsi" w:hAnsiTheme="majorHAnsi" w:cstheme="majorHAnsi"/>
                  <w:lang w:val="en-US"/>
                </w:rPr>
                <w:t>mmusolino@stjopayn.catholic.edu</w:t>
              </w:r>
            </w:hyperlink>
          </w:p>
        </w:tc>
      </w:tr>
    </w:tbl>
    <w:p w14:paraId="641AD65C" w14:textId="77777777" w:rsidR="007F1858" w:rsidRDefault="007F1858" w:rsidP="00A858F7"/>
    <w:sectPr w:rsidR="007F1858" w:rsidSect="003C0ED9">
      <w:pgSz w:w="11900" w:h="16840"/>
      <w:pgMar w:top="568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2614" w14:textId="77777777" w:rsidR="008A1733" w:rsidRDefault="008A1733" w:rsidP="003C0ED9">
      <w:r>
        <w:separator/>
      </w:r>
    </w:p>
  </w:endnote>
  <w:endnote w:type="continuationSeparator" w:id="0">
    <w:p w14:paraId="002B9A21" w14:textId="77777777" w:rsidR="008A1733" w:rsidRDefault="008A1733" w:rsidP="003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D581" w14:textId="77777777" w:rsidR="008A1733" w:rsidRDefault="008A1733" w:rsidP="003C0ED9">
      <w:r>
        <w:separator/>
      </w:r>
    </w:p>
  </w:footnote>
  <w:footnote w:type="continuationSeparator" w:id="0">
    <w:p w14:paraId="2BC8566F" w14:textId="77777777" w:rsidR="008A1733" w:rsidRDefault="008A1733" w:rsidP="003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FF15AB"/>
    <w:multiLevelType w:val="hybridMultilevel"/>
    <w:tmpl w:val="E202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3EF0"/>
    <w:multiLevelType w:val="hybridMultilevel"/>
    <w:tmpl w:val="59F4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7DCA"/>
    <w:multiLevelType w:val="hybridMultilevel"/>
    <w:tmpl w:val="E0E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9"/>
    <w:rsid w:val="00015388"/>
    <w:rsid w:val="000361ED"/>
    <w:rsid w:val="000864E8"/>
    <w:rsid w:val="001D74DB"/>
    <w:rsid w:val="001E3EE9"/>
    <w:rsid w:val="002218F3"/>
    <w:rsid w:val="00334A27"/>
    <w:rsid w:val="0036043C"/>
    <w:rsid w:val="003A5356"/>
    <w:rsid w:val="003B313C"/>
    <w:rsid w:val="003C0ED9"/>
    <w:rsid w:val="003F120D"/>
    <w:rsid w:val="00463450"/>
    <w:rsid w:val="00467869"/>
    <w:rsid w:val="0049442E"/>
    <w:rsid w:val="0054375F"/>
    <w:rsid w:val="005457F4"/>
    <w:rsid w:val="00583299"/>
    <w:rsid w:val="005868CB"/>
    <w:rsid w:val="005F56DC"/>
    <w:rsid w:val="00675918"/>
    <w:rsid w:val="006B6AFC"/>
    <w:rsid w:val="007F1858"/>
    <w:rsid w:val="008A1733"/>
    <w:rsid w:val="00920125"/>
    <w:rsid w:val="00A341AA"/>
    <w:rsid w:val="00A858F7"/>
    <w:rsid w:val="00A930E6"/>
    <w:rsid w:val="00AB6B26"/>
    <w:rsid w:val="00AD3D19"/>
    <w:rsid w:val="00AF4468"/>
    <w:rsid w:val="00BA052A"/>
    <w:rsid w:val="00C57133"/>
    <w:rsid w:val="00C775C8"/>
    <w:rsid w:val="00C97DFC"/>
    <w:rsid w:val="00DE77AC"/>
    <w:rsid w:val="00E06FF5"/>
    <w:rsid w:val="00EA4ECA"/>
    <w:rsid w:val="00ED4A92"/>
    <w:rsid w:val="00EE2538"/>
    <w:rsid w:val="00F06693"/>
    <w:rsid w:val="00F154BA"/>
    <w:rsid w:val="00F9761B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A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D9"/>
  </w:style>
  <w:style w:type="paragraph" w:styleId="Footer">
    <w:name w:val="footer"/>
    <w:basedOn w:val="Normal"/>
    <w:link w:val="FooterChar"/>
    <w:uiPriority w:val="99"/>
    <w:unhideWhenUsed/>
    <w:rsid w:val="003C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D9"/>
  </w:style>
  <w:style w:type="character" w:styleId="Hyperlink">
    <w:name w:val="Hyperlink"/>
    <w:basedOn w:val="DefaultParagraphFont"/>
    <w:uiPriority w:val="99"/>
    <w:unhideWhenUsed/>
    <w:rsid w:val="00F066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76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4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D9"/>
  </w:style>
  <w:style w:type="paragraph" w:styleId="Footer">
    <w:name w:val="footer"/>
    <w:basedOn w:val="Normal"/>
    <w:link w:val="FooterChar"/>
    <w:uiPriority w:val="99"/>
    <w:unhideWhenUsed/>
    <w:rsid w:val="003C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D9"/>
  </w:style>
  <w:style w:type="character" w:styleId="Hyperlink">
    <w:name w:val="Hyperlink"/>
    <w:basedOn w:val="DefaultParagraphFont"/>
    <w:uiPriority w:val="99"/>
    <w:unhideWhenUsed/>
    <w:rsid w:val="00F066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76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jopayn.catholic.edu.au/__files/d/16021/Italian_Overview_-_Term_3,_2021.pdf" TargetMode="External"/><Relationship Id="rId12" Type="http://schemas.openxmlformats.org/officeDocument/2006/relationships/hyperlink" Target="https://www.stjopayn.catholic.edu.au/__files/d/16020/Music_TERM_3_OVERVIEW_2021.pdf" TargetMode="External"/><Relationship Id="rId13" Type="http://schemas.openxmlformats.org/officeDocument/2006/relationships/hyperlink" Target="https://www.stjopayn.catholic.edu.au/__files/d/16025/STEM_TERM_3_OVERVIEW.pdf" TargetMode="External"/><Relationship Id="rId14" Type="http://schemas.openxmlformats.org/officeDocument/2006/relationships/image" Target="media/image3.png"/><Relationship Id="rId15" Type="http://schemas.openxmlformats.org/officeDocument/2006/relationships/hyperlink" Target="mailto:swatters@stjopayn.catholic.edu.au" TargetMode="External"/><Relationship Id="rId16" Type="http://schemas.openxmlformats.org/officeDocument/2006/relationships/hyperlink" Target="mailto:swatters@stjopayn.catholic.edu.au" TargetMode="External"/><Relationship Id="rId17" Type="http://schemas.openxmlformats.org/officeDocument/2006/relationships/hyperlink" Target="mailto:mmusolino@stjopayn.catholic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s://www.stjopayn.catholic.edu.au/__files/d/16022/PE_Overview_-_Term_3,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3522</Characters>
  <Application>Microsoft Macintosh Word</Application>
  <DocSecurity>0</DocSecurity>
  <Lines>29</Lines>
  <Paragraphs>8</Paragraphs>
  <ScaleCrop>false</ScaleCrop>
  <Company>ST JOSEPHS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Douventzidis</dc:creator>
  <cp:keywords/>
  <dc:description/>
  <cp:lastModifiedBy>Ingrid Douventzidis</cp:lastModifiedBy>
  <cp:revision>3</cp:revision>
  <dcterms:created xsi:type="dcterms:W3CDTF">2021-07-22T11:49:00Z</dcterms:created>
  <dcterms:modified xsi:type="dcterms:W3CDTF">2021-07-25T10:48:00Z</dcterms:modified>
</cp:coreProperties>
</file>